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興行場営業許可申請書等記載事項変更届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ind w:left="3685" w:leftChars="1755"/>
        <w:rPr>
          <w:rFonts w:hint="default"/>
        </w:rPr>
      </w:pPr>
      <w:r>
        <w:rPr>
          <w:rFonts w:hint="eastAsia"/>
        </w:rPr>
        <w:t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>
      <w:pPr>
        <w:pStyle w:val="0"/>
        <w:ind w:left="4536" w:leftChars="216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224790</wp:posOffset>
                </wp:positionV>
                <wp:extent cx="2381250" cy="44767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812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87.5pt;height:35.25pt;mso-position-horizontal-relative:text;position:absolute;margin-left:231.45pt;margin-top:17.7pt;mso-wrap-distance-bottom:0pt;mso-wrap-distance-right:9pt;mso-wrap-distance-top:0pt;" o:spid="_x0000_s1026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tbl>
      <w:tblPr>
        <w:tblStyle w:val="11"/>
        <w:tblW w:w="0" w:type="auto"/>
        <w:tblInd w:w="482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684"/>
      </w:tblGrid>
      <w:tr>
        <w:trPr>
          <w:trHeight w:val="760" w:hRule="atLeast"/>
        </w:trPr>
        <w:tc>
          <w:tcPr>
            <w:tcW w:w="36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法人にあっては、その名称、事務所</w:t>
            </w:r>
          </w:p>
          <w:p>
            <w:pPr>
              <w:pStyle w:val="0"/>
              <w:rPr>
                <w:rFonts w:hint="default"/>
                <w:spacing w:val="105"/>
              </w:rPr>
            </w:pPr>
            <w:r>
              <w:rPr>
                <w:rFonts w:hint="eastAsia"/>
              </w:rPr>
              <w:t>所在地及び代表者の氏名</w:t>
            </w:r>
          </w:p>
        </w:tc>
      </w:tr>
    </w:tbl>
    <w:p>
      <w:pPr>
        <w:pStyle w:val="0"/>
        <w:ind w:left="4536" w:leftChars="216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次のとおり変更したので、高崎市興行場法施行細則第５条第１項の規定により届け出ます。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1417"/>
        <w:gridCol w:w="5670"/>
      </w:tblGrid>
      <w:tr>
        <w:trPr>
          <w:cantSplit/>
          <w:trHeight w:val="480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興行場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996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法人の名称・法人の事務所所在地・法人の代表者・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構造設備・その他（　　　　　　　　　　　）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701" w:hRule="atLeast"/>
        </w:trPr>
        <w:tc>
          <w:tcPr>
            <w:tcW w:w="850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＜添付書類＞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１　興行場の構造設備に変更があった場合は、変更後の構造設備の概要を明らかにした平面図及び概要書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２　興行場の構造設備の変更により、他の法令又は条例に基づき行政庁の許可、認可等を要する場合は、当該法令又は条例に基づく許可書、認可書等の写し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343</Characters>
  <Application>JUST Note</Application>
  <Lines>50</Lines>
  <Paragraphs>24</Paragraphs>
  <CharactersWithSpaces>369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様式第7号(第5条関係)</dc:title>
  <dc:creator>(株)ぎょうせい</dc:creator>
  <cp:lastModifiedBy>Administrator</cp:lastModifiedBy>
  <dcterms:created xsi:type="dcterms:W3CDTF">2022-03-30T06:15:00Z</dcterms:created>
  <dcterms:modified xsi:type="dcterms:W3CDTF">2026-02-27T02:46:59Z</dcterms:modified>
  <cp:revision>12</cp:revision>
</cp:coreProperties>
</file>