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高崎市空き家解体跡地管理助成金変更（中止）申請書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高崎市空き家解体跡地管理助成金交付要綱第１０条第１項の規定によ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管理事業に要する経費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2</Pages>
  <Words>6</Words>
  <Characters>1376</Characters>
  <Application>JUST Note</Application>
  <Lines>232</Lines>
  <Paragraphs>65</Paragraphs>
  <CharactersWithSpaces>1627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2026-03-17T07:07:25Z</dcterms:modified>
  <cp:revision>18</cp:revision>
</cp:coreProperties>
</file>